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9E66" w14:textId="77777777" w:rsidR="00154AAA" w:rsidRPr="00154AAA" w:rsidRDefault="007D1C37" w:rsidP="00154AAA">
      <w:pPr>
        <w:pStyle w:val="FLSHeading1Bold"/>
      </w:pPr>
      <w:r>
        <w:t>Gender Pay Gap Report 2022</w:t>
      </w:r>
    </w:p>
    <w:p w14:paraId="4095903D" w14:textId="77777777" w:rsidR="007D1C37" w:rsidRDefault="007D1C37" w:rsidP="00154AAA">
      <w:pPr>
        <w:pStyle w:val="FLSHeading3"/>
      </w:pPr>
    </w:p>
    <w:p w14:paraId="44CB3E30" w14:textId="77777777" w:rsidR="00154AAA" w:rsidRPr="00154AAA" w:rsidRDefault="007D1C37" w:rsidP="00154AAA">
      <w:pPr>
        <w:pStyle w:val="FLSHeading3"/>
      </w:pPr>
      <w:r>
        <w:t>What is Gender Pay Gap Reporting</w:t>
      </w:r>
    </w:p>
    <w:p w14:paraId="441DA2F6" w14:textId="77777777" w:rsidR="008104EA" w:rsidRDefault="008104EA" w:rsidP="008104EA">
      <w:pPr>
        <w:pStyle w:val="FLSBody"/>
        <w:rPr>
          <w:shd w:val="clear" w:color="auto" w:fill="FFFFFF"/>
        </w:rPr>
      </w:pPr>
      <w:r>
        <w:rPr>
          <w:shd w:val="clear" w:color="auto" w:fill="FFFFFF"/>
        </w:rPr>
        <w:t xml:space="preserve">The gender pay gap </w:t>
      </w:r>
      <w:r>
        <w:t>shows the difference in the average pay between all men and women in a workforce. If a workforce has a particularly high gender pay gap, this can indicate there may be a number of issues to deal with, and the individual calculations may help to identify what those issues are.</w:t>
      </w:r>
    </w:p>
    <w:p w14:paraId="400183F2" w14:textId="77777777" w:rsidR="008104EA" w:rsidRDefault="008104EA" w:rsidP="008104EA">
      <w:pPr>
        <w:pStyle w:val="FLSBody"/>
      </w:pPr>
    </w:p>
    <w:p w14:paraId="152FA6D2" w14:textId="774D1CDD" w:rsidR="008104EA" w:rsidRPr="00FF6DC8" w:rsidRDefault="008104EA" w:rsidP="008104EA">
      <w:pPr>
        <w:pStyle w:val="FLSBody"/>
      </w:pPr>
      <w:r>
        <w:t xml:space="preserve">The gender pay gap is different to equal pay. Equal pay deals with the pay differences between men and women who carry out the same jobs, similar jobs or work of equal value. It is unlawful to pay people unequally because </w:t>
      </w:r>
      <w:r w:rsidR="00431D70">
        <w:t>of gender.</w:t>
      </w:r>
    </w:p>
    <w:p w14:paraId="601F79D7" w14:textId="77777777" w:rsidR="008104EA" w:rsidRDefault="008104EA" w:rsidP="008104EA">
      <w:pPr>
        <w:pStyle w:val="FLSBody"/>
        <w:rPr>
          <w:shd w:val="clear" w:color="auto" w:fill="FFFFFF"/>
        </w:rPr>
      </w:pPr>
    </w:p>
    <w:p w14:paraId="26F345A8" w14:textId="6F4D47AA" w:rsidR="007D1C37" w:rsidRPr="00865E92" w:rsidRDefault="008104EA" w:rsidP="00865E92">
      <w:pPr>
        <w:pStyle w:val="FLSBody"/>
        <w:rPr>
          <w:shd w:val="clear" w:color="auto" w:fill="FFFFFF"/>
        </w:rPr>
      </w:pPr>
      <w:r>
        <w:rPr>
          <w:shd w:val="clear" w:color="auto" w:fill="FFFFFF"/>
        </w:rPr>
        <w:t>This report is a snapshot of our pay and gender as of 31 March 2022, and fulfills Forestry and Land Scotland’s reporting requirements under the Public Sector Equality Duty.</w:t>
      </w:r>
    </w:p>
    <w:p w14:paraId="5DC40CA1" w14:textId="77777777" w:rsidR="00154AAA" w:rsidRDefault="007D1C37" w:rsidP="00154AAA">
      <w:pPr>
        <w:pStyle w:val="FLSHeading3"/>
      </w:pPr>
      <w:r>
        <w:t>Results &amp; Interpretation</w:t>
      </w:r>
    </w:p>
    <w:p w14:paraId="45256B15" w14:textId="77777777" w:rsidR="00E16F59" w:rsidRPr="008F52B3" w:rsidRDefault="00E16F59" w:rsidP="00154AAA">
      <w:pPr>
        <w:pStyle w:val="FLSHeading3"/>
      </w:pPr>
    </w:p>
    <w:tbl>
      <w:tblPr>
        <w:tblStyle w:val="TableGrid"/>
        <w:tblW w:w="0" w:type="auto"/>
        <w:jc w:val="center"/>
        <w:tblLook w:val="04A0" w:firstRow="1" w:lastRow="0" w:firstColumn="1" w:lastColumn="0" w:noHBand="0" w:noVBand="1"/>
        <w:tblCaption w:val="Mean and Median Hourly Wage, by gender"/>
        <w:tblDescription w:val="This table shows the gender pay gap, which stands at -1.7% when calculated by the mean hourly wage, and -9.7% when calculcated by the median hourly wage."/>
      </w:tblPr>
      <w:tblGrid>
        <w:gridCol w:w="1980"/>
        <w:gridCol w:w="1984"/>
        <w:gridCol w:w="2127"/>
      </w:tblGrid>
      <w:tr w:rsidR="007D1C37" w14:paraId="1A149E7E" w14:textId="77777777" w:rsidTr="00963DEB">
        <w:trPr>
          <w:tblHeader/>
          <w:jc w:val="center"/>
        </w:trPr>
        <w:tc>
          <w:tcPr>
            <w:tcW w:w="1980" w:type="dxa"/>
            <w:tcBorders>
              <w:top w:val="nil"/>
              <w:left w:val="nil"/>
              <w:bottom w:val="single" w:sz="4" w:space="0" w:color="auto"/>
              <w:right w:val="single" w:sz="4" w:space="0" w:color="auto"/>
            </w:tcBorders>
          </w:tcPr>
          <w:p w14:paraId="4789E25D" w14:textId="77777777" w:rsidR="007D1C37" w:rsidRDefault="007D1C37" w:rsidP="007D1C37">
            <w:pPr>
              <w:pStyle w:val="FLSHeading3"/>
            </w:pPr>
          </w:p>
        </w:tc>
        <w:tc>
          <w:tcPr>
            <w:tcW w:w="1984" w:type="dxa"/>
            <w:tcBorders>
              <w:left w:val="single" w:sz="4" w:space="0" w:color="auto"/>
            </w:tcBorders>
            <w:shd w:val="clear" w:color="auto" w:fill="035F1D"/>
          </w:tcPr>
          <w:p w14:paraId="0FBDEC8B" w14:textId="77777777" w:rsidR="007D1C37" w:rsidRPr="008104EA" w:rsidRDefault="007D1C37" w:rsidP="00963DEB">
            <w:pPr>
              <w:pStyle w:val="FLSHeading4"/>
            </w:pPr>
            <w:r w:rsidRPr="00963DEB">
              <w:t>Mean Hourly Wage</w:t>
            </w:r>
          </w:p>
        </w:tc>
        <w:tc>
          <w:tcPr>
            <w:tcW w:w="2127" w:type="dxa"/>
            <w:shd w:val="clear" w:color="auto" w:fill="035F1D"/>
          </w:tcPr>
          <w:p w14:paraId="04285369" w14:textId="77777777" w:rsidR="007D1C37" w:rsidRPr="008104EA" w:rsidRDefault="007D1C37" w:rsidP="00963DEB">
            <w:pPr>
              <w:pStyle w:val="FLSHeading4"/>
            </w:pPr>
            <w:r w:rsidRPr="008104EA">
              <w:t>Median Hourly Wage</w:t>
            </w:r>
          </w:p>
        </w:tc>
      </w:tr>
      <w:tr w:rsidR="007D1C37" w14:paraId="7715953F" w14:textId="77777777" w:rsidTr="008104EA">
        <w:trPr>
          <w:jc w:val="center"/>
        </w:trPr>
        <w:tc>
          <w:tcPr>
            <w:tcW w:w="1980" w:type="dxa"/>
            <w:tcBorders>
              <w:top w:val="single" w:sz="4" w:space="0" w:color="auto"/>
            </w:tcBorders>
          </w:tcPr>
          <w:p w14:paraId="2410F5DB" w14:textId="77777777" w:rsidR="007D1C37" w:rsidRPr="007D1C37" w:rsidRDefault="007D1C37" w:rsidP="007D1C37">
            <w:pPr>
              <w:rPr>
                <w:b/>
              </w:rPr>
            </w:pPr>
            <w:r w:rsidRPr="007D1C37">
              <w:rPr>
                <w:b/>
              </w:rPr>
              <w:t>Female</w:t>
            </w:r>
          </w:p>
        </w:tc>
        <w:tc>
          <w:tcPr>
            <w:tcW w:w="1984" w:type="dxa"/>
          </w:tcPr>
          <w:p w14:paraId="39B4A13C" w14:textId="77777777" w:rsidR="007D1C37" w:rsidRDefault="008104EA" w:rsidP="007D1C37">
            <w:r>
              <w:t>£</w:t>
            </w:r>
            <w:r w:rsidR="007D1C37">
              <w:t>16.51</w:t>
            </w:r>
          </w:p>
        </w:tc>
        <w:tc>
          <w:tcPr>
            <w:tcW w:w="2127" w:type="dxa"/>
          </w:tcPr>
          <w:p w14:paraId="619A49FF" w14:textId="77777777" w:rsidR="007D1C37" w:rsidRDefault="008104EA" w:rsidP="007D1C37">
            <w:r>
              <w:t>£</w:t>
            </w:r>
            <w:r w:rsidR="007D1C37">
              <w:t>15.55</w:t>
            </w:r>
          </w:p>
        </w:tc>
      </w:tr>
      <w:tr w:rsidR="007D1C37" w14:paraId="3EBB5115" w14:textId="77777777" w:rsidTr="008104EA">
        <w:trPr>
          <w:jc w:val="center"/>
        </w:trPr>
        <w:tc>
          <w:tcPr>
            <w:tcW w:w="1980" w:type="dxa"/>
          </w:tcPr>
          <w:p w14:paraId="120B9B62" w14:textId="77777777" w:rsidR="007D1C37" w:rsidRPr="007D1C37" w:rsidRDefault="007D1C37" w:rsidP="007D1C37">
            <w:pPr>
              <w:rPr>
                <w:b/>
              </w:rPr>
            </w:pPr>
            <w:r w:rsidRPr="007D1C37">
              <w:rPr>
                <w:b/>
              </w:rPr>
              <w:t>Male</w:t>
            </w:r>
          </w:p>
        </w:tc>
        <w:tc>
          <w:tcPr>
            <w:tcW w:w="1984" w:type="dxa"/>
          </w:tcPr>
          <w:p w14:paraId="6254BE10" w14:textId="77777777" w:rsidR="007D1C37" w:rsidRDefault="008104EA" w:rsidP="007D1C37">
            <w:r>
              <w:t>£</w:t>
            </w:r>
            <w:r w:rsidR="007D1C37">
              <w:t>16.24</w:t>
            </w:r>
          </w:p>
        </w:tc>
        <w:tc>
          <w:tcPr>
            <w:tcW w:w="2127" w:type="dxa"/>
          </w:tcPr>
          <w:p w14:paraId="680C663E" w14:textId="77777777" w:rsidR="007D1C37" w:rsidRDefault="008104EA" w:rsidP="007D1C37">
            <w:r>
              <w:t>£</w:t>
            </w:r>
            <w:r w:rsidR="007D1C37">
              <w:t>14.17</w:t>
            </w:r>
          </w:p>
        </w:tc>
      </w:tr>
      <w:tr w:rsidR="007D1C37" w14:paraId="7824C4E9" w14:textId="77777777" w:rsidTr="008104EA">
        <w:trPr>
          <w:jc w:val="center"/>
        </w:trPr>
        <w:tc>
          <w:tcPr>
            <w:tcW w:w="1980" w:type="dxa"/>
          </w:tcPr>
          <w:p w14:paraId="3322766F" w14:textId="77777777" w:rsidR="007D1C37" w:rsidRPr="007D1C37" w:rsidRDefault="007D1C37" w:rsidP="007D1C37">
            <w:pPr>
              <w:rPr>
                <w:b/>
              </w:rPr>
            </w:pPr>
            <w:r w:rsidRPr="007D1C37">
              <w:rPr>
                <w:b/>
              </w:rPr>
              <w:t>All staff</w:t>
            </w:r>
          </w:p>
        </w:tc>
        <w:tc>
          <w:tcPr>
            <w:tcW w:w="1984" w:type="dxa"/>
          </w:tcPr>
          <w:p w14:paraId="4C265811" w14:textId="77777777" w:rsidR="007D1C37" w:rsidRDefault="008104EA" w:rsidP="007D1C37">
            <w:r>
              <w:t>£</w:t>
            </w:r>
            <w:r w:rsidR="007D1C37">
              <w:t>16.34</w:t>
            </w:r>
          </w:p>
        </w:tc>
        <w:tc>
          <w:tcPr>
            <w:tcW w:w="2127" w:type="dxa"/>
          </w:tcPr>
          <w:p w14:paraId="760D528C" w14:textId="77777777" w:rsidR="007D1C37" w:rsidRDefault="008104EA" w:rsidP="007D1C37">
            <w:r>
              <w:t>£</w:t>
            </w:r>
            <w:r w:rsidR="007D1C37">
              <w:t>15.01</w:t>
            </w:r>
          </w:p>
        </w:tc>
      </w:tr>
      <w:tr w:rsidR="007D1C37" w14:paraId="0FF3AC1E" w14:textId="77777777" w:rsidTr="008104EA">
        <w:trPr>
          <w:jc w:val="center"/>
        </w:trPr>
        <w:tc>
          <w:tcPr>
            <w:tcW w:w="1980" w:type="dxa"/>
          </w:tcPr>
          <w:p w14:paraId="35A308D2" w14:textId="77777777" w:rsidR="007D1C37" w:rsidRPr="007D1C37" w:rsidRDefault="007D1C37" w:rsidP="007D1C37">
            <w:pPr>
              <w:rPr>
                <w:b/>
              </w:rPr>
            </w:pPr>
            <w:r w:rsidRPr="007D1C37">
              <w:rPr>
                <w:b/>
              </w:rPr>
              <w:t>Gender Pay Gap</w:t>
            </w:r>
          </w:p>
        </w:tc>
        <w:tc>
          <w:tcPr>
            <w:tcW w:w="1984" w:type="dxa"/>
          </w:tcPr>
          <w:p w14:paraId="4A96229A" w14:textId="77777777" w:rsidR="007D1C37" w:rsidRPr="007D1C37" w:rsidRDefault="007D1C37" w:rsidP="007D1C37">
            <w:pPr>
              <w:rPr>
                <w:b/>
              </w:rPr>
            </w:pPr>
            <w:r w:rsidRPr="007D1C37">
              <w:rPr>
                <w:b/>
              </w:rPr>
              <w:t>-1.7%</w:t>
            </w:r>
          </w:p>
        </w:tc>
        <w:tc>
          <w:tcPr>
            <w:tcW w:w="2127" w:type="dxa"/>
          </w:tcPr>
          <w:p w14:paraId="7CBA3E44" w14:textId="77777777" w:rsidR="007D1C37" w:rsidRPr="007D1C37" w:rsidRDefault="007D1C37" w:rsidP="007D1C37">
            <w:pPr>
              <w:rPr>
                <w:b/>
              </w:rPr>
            </w:pPr>
            <w:r w:rsidRPr="007D1C37">
              <w:rPr>
                <w:b/>
              </w:rPr>
              <w:t>-9.7%</w:t>
            </w:r>
          </w:p>
        </w:tc>
      </w:tr>
    </w:tbl>
    <w:p w14:paraId="121EC6A7" w14:textId="77777777" w:rsidR="007D1C37" w:rsidRDefault="007D1C37" w:rsidP="007D1C37">
      <w:bookmarkStart w:id="0" w:name="_GoBack"/>
      <w:bookmarkEnd w:id="0"/>
    </w:p>
    <w:tbl>
      <w:tblPr>
        <w:tblStyle w:val="TableGrid"/>
        <w:tblW w:w="0" w:type="auto"/>
        <w:jc w:val="center"/>
        <w:tblLook w:val="04A0" w:firstRow="1" w:lastRow="0" w:firstColumn="1" w:lastColumn="0" w:noHBand="0" w:noVBand="1"/>
        <w:tblCaption w:val="Percentage of Headcount in each pay quarter, by gender"/>
        <w:tblDescription w:val="This table shows the percentage of male and female staff in each pay quarter"/>
      </w:tblPr>
      <w:tblGrid>
        <w:gridCol w:w="1892"/>
        <w:gridCol w:w="1893"/>
        <w:gridCol w:w="1893"/>
        <w:gridCol w:w="1893"/>
        <w:gridCol w:w="1893"/>
      </w:tblGrid>
      <w:tr w:rsidR="00E16F59" w:rsidRPr="00E16F59" w14:paraId="41665AD3" w14:textId="77777777" w:rsidTr="00963DEB">
        <w:trPr>
          <w:tblHeader/>
          <w:jc w:val="center"/>
        </w:trPr>
        <w:tc>
          <w:tcPr>
            <w:tcW w:w="9464" w:type="dxa"/>
            <w:gridSpan w:val="5"/>
            <w:shd w:val="clear" w:color="auto" w:fill="035F1D"/>
          </w:tcPr>
          <w:p w14:paraId="41B7C0A5" w14:textId="19D1B320" w:rsidR="007D1C37" w:rsidRPr="00E16F59" w:rsidRDefault="007D1C37" w:rsidP="00963DEB">
            <w:pPr>
              <w:pStyle w:val="FLSHeading4"/>
            </w:pPr>
            <w:r w:rsidRPr="00E16F59">
              <w:t xml:space="preserve">Percentage of Headcount in each Pay </w:t>
            </w:r>
            <w:r w:rsidR="00E16F59">
              <w:t>Quarter</w:t>
            </w:r>
          </w:p>
        </w:tc>
      </w:tr>
      <w:tr w:rsidR="007D1C37" w14:paraId="4B6A454C" w14:textId="77777777" w:rsidTr="007B088B">
        <w:trPr>
          <w:jc w:val="center"/>
        </w:trPr>
        <w:tc>
          <w:tcPr>
            <w:tcW w:w="1892" w:type="dxa"/>
          </w:tcPr>
          <w:p w14:paraId="0EB7252D" w14:textId="77777777" w:rsidR="007D1C37" w:rsidRDefault="007D1C37" w:rsidP="007D1C37"/>
        </w:tc>
        <w:tc>
          <w:tcPr>
            <w:tcW w:w="1893" w:type="dxa"/>
          </w:tcPr>
          <w:p w14:paraId="2319DEA1" w14:textId="77777777" w:rsidR="007D1C37" w:rsidRPr="007D1C37" w:rsidRDefault="007D1C37" w:rsidP="007D1C37">
            <w:pPr>
              <w:rPr>
                <w:b/>
              </w:rPr>
            </w:pPr>
            <w:r w:rsidRPr="007D1C37">
              <w:rPr>
                <w:b/>
              </w:rPr>
              <w:t>Lower</w:t>
            </w:r>
          </w:p>
        </w:tc>
        <w:tc>
          <w:tcPr>
            <w:tcW w:w="1893" w:type="dxa"/>
          </w:tcPr>
          <w:p w14:paraId="327E9191" w14:textId="77777777" w:rsidR="007D1C37" w:rsidRPr="007D1C37" w:rsidRDefault="007D1C37" w:rsidP="007D1C37">
            <w:pPr>
              <w:rPr>
                <w:b/>
              </w:rPr>
            </w:pPr>
            <w:r w:rsidRPr="007D1C37">
              <w:rPr>
                <w:b/>
              </w:rPr>
              <w:t>Lower Middle</w:t>
            </w:r>
          </w:p>
        </w:tc>
        <w:tc>
          <w:tcPr>
            <w:tcW w:w="1893" w:type="dxa"/>
          </w:tcPr>
          <w:p w14:paraId="3CA341AA" w14:textId="77777777" w:rsidR="007D1C37" w:rsidRPr="007D1C37" w:rsidRDefault="007D1C37" w:rsidP="007D1C37">
            <w:pPr>
              <w:rPr>
                <w:b/>
              </w:rPr>
            </w:pPr>
            <w:r w:rsidRPr="007D1C37">
              <w:rPr>
                <w:b/>
              </w:rPr>
              <w:t>Upper Middle</w:t>
            </w:r>
          </w:p>
        </w:tc>
        <w:tc>
          <w:tcPr>
            <w:tcW w:w="1893" w:type="dxa"/>
          </w:tcPr>
          <w:p w14:paraId="5E1AF65D" w14:textId="77777777" w:rsidR="007D1C37" w:rsidRPr="007D1C37" w:rsidRDefault="007D1C37" w:rsidP="007D1C37">
            <w:pPr>
              <w:rPr>
                <w:b/>
              </w:rPr>
            </w:pPr>
            <w:r w:rsidRPr="007D1C37">
              <w:rPr>
                <w:b/>
              </w:rPr>
              <w:t>Upper</w:t>
            </w:r>
          </w:p>
        </w:tc>
      </w:tr>
      <w:tr w:rsidR="007D1C37" w14:paraId="439C2F93" w14:textId="77777777" w:rsidTr="007B088B">
        <w:trPr>
          <w:jc w:val="center"/>
        </w:trPr>
        <w:tc>
          <w:tcPr>
            <w:tcW w:w="1892" w:type="dxa"/>
          </w:tcPr>
          <w:p w14:paraId="46F14395" w14:textId="77777777" w:rsidR="007D1C37" w:rsidRPr="007D1C37" w:rsidRDefault="007D1C37" w:rsidP="007D1C37">
            <w:pPr>
              <w:rPr>
                <w:b/>
              </w:rPr>
            </w:pPr>
            <w:r w:rsidRPr="007D1C37">
              <w:rPr>
                <w:b/>
              </w:rPr>
              <w:t>Female</w:t>
            </w:r>
          </w:p>
        </w:tc>
        <w:tc>
          <w:tcPr>
            <w:tcW w:w="1893" w:type="dxa"/>
          </w:tcPr>
          <w:p w14:paraId="30BA9634" w14:textId="77777777" w:rsidR="007D1C37" w:rsidRDefault="007B088B" w:rsidP="007D1C37">
            <w:r>
              <w:t>40</w:t>
            </w:r>
            <w:r w:rsidR="007D1C37">
              <w:t>%</w:t>
            </w:r>
          </w:p>
        </w:tc>
        <w:tc>
          <w:tcPr>
            <w:tcW w:w="1893" w:type="dxa"/>
          </w:tcPr>
          <w:p w14:paraId="01211206" w14:textId="77777777" w:rsidR="007D1C37" w:rsidRDefault="007B088B" w:rsidP="007D1C37">
            <w:r>
              <w:t>21</w:t>
            </w:r>
            <w:r w:rsidR="007D1C37">
              <w:t>%</w:t>
            </w:r>
          </w:p>
        </w:tc>
        <w:tc>
          <w:tcPr>
            <w:tcW w:w="1893" w:type="dxa"/>
          </w:tcPr>
          <w:p w14:paraId="6CBD2E71" w14:textId="77777777" w:rsidR="007D1C37" w:rsidRDefault="007B088B" w:rsidP="007B088B">
            <w:r>
              <w:t>40%</w:t>
            </w:r>
          </w:p>
        </w:tc>
        <w:tc>
          <w:tcPr>
            <w:tcW w:w="1893" w:type="dxa"/>
          </w:tcPr>
          <w:p w14:paraId="30ABA315" w14:textId="77777777" w:rsidR="007D1C37" w:rsidRDefault="007D1C37" w:rsidP="007D1C37">
            <w:r>
              <w:t>3</w:t>
            </w:r>
            <w:r w:rsidR="007B088B">
              <w:t>8</w:t>
            </w:r>
            <w:r>
              <w:t>%</w:t>
            </w:r>
          </w:p>
        </w:tc>
      </w:tr>
      <w:tr w:rsidR="007D1C37" w14:paraId="6338CBC1" w14:textId="77777777" w:rsidTr="007B088B">
        <w:trPr>
          <w:jc w:val="center"/>
        </w:trPr>
        <w:tc>
          <w:tcPr>
            <w:tcW w:w="1892" w:type="dxa"/>
          </w:tcPr>
          <w:p w14:paraId="59D9F72A" w14:textId="77777777" w:rsidR="007D1C37" w:rsidRPr="007D1C37" w:rsidRDefault="007D1C37" w:rsidP="007D1C37">
            <w:pPr>
              <w:rPr>
                <w:b/>
              </w:rPr>
            </w:pPr>
            <w:r w:rsidRPr="007D1C37">
              <w:rPr>
                <w:b/>
              </w:rPr>
              <w:t>Male</w:t>
            </w:r>
          </w:p>
        </w:tc>
        <w:tc>
          <w:tcPr>
            <w:tcW w:w="1893" w:type="dxa"/>
          </w:tcPr>
          <w:p w14:paraId="19EBDB27" w14:textId="77777777" w:rsidR="007D1C37" w:rsidRDefault="007B088B" w:rsidP="007B088B">
            <w:r>
              <w:t>60</w:t>
            </w:r>
            <w:r w:rsidR="007D1C37">
              <w:t>%</w:t>
            </w:r>
          </w:p>
        </w:tc>
        <w:tc>
          <w:tcPr>
            <w:tcW w:w="1893" w:type="dxa"/>
          </w:tcPr>
          <w:p w14:paraId="0843394B" w14:textId="77777777" w:rsidR="007D1C37" w:rsidRDefault="007B088B" w:rsidP="007B088B">
            <w:r>
              <w:t>79</w:t>
            </w:r>
            <w:r w:rsidR="007D1C37">
              <w:t>%</w:t>
            </w:r>
          </w:p>
        </w:tc>
        <w:tc>
          <w:tcPr>
            <w:tcW w:w="1893" w:type="dxa"/>
          </w:tcPr>
          <w:p w14:paraId="15F9A8B9" w14:textId="77777777" w:rsidR="007D1C37" w:rsidRDefault="007B088B" w:rsidP="007D1C37">
            <w:r>
              <w:t>60</w:t>
            </w:r>
            <w:r w:rsidR="007D1C37">
              <w:t>%</w:t>
            </w:r>
          </w:p>
        </w:tc>
        <w:tc>
          <w:tcPr>
            <w:tcW w:w="1893" w:type="dxa"/>
          </w:tcPr>
          <w:p w14:paraId="25CA76B5" w14:textId="77777777" w:rsidR="007D1C37" w:rsidRDefault="007B088B" w:rsidP="007B088B">
            <w:r>
              <w:t>62</w:t>
            </w:r>
            <w:r w:rsidR="007D1C37">
              <w:t>%</w:t>
            </w:r>
          </w:p>
        </w:tc>
      </w:tr>
    </w:tbl>
    <w:p w14:paraId="214EB7B8" w14:textId="77777777" w:rsidR="00BE55E4" w:rsidRDefault="00BE55E4" w:rsidP="007B088B">
      <w:pPr>
        <w:pStyle w:val="FLSBody"/>
        <w:rPr>
          <w:sz w:val="22"/>
        </w:rPr>
      </w:pPr>
    </w:p>
    <w:p w14:paraId="0CCD5A5A" w14:textId="77777777" w:rsidR="00865E92" w:rsidRDefault="00865E92" w:rsidP="007B088B">
      <w:pPr>
        <w:pStyle w:val="FLSBody"/>
      </w:pPr>
    </w:p>
    <w:p w14:paraId="4FE54C2C" w14:textId="77777777" w:rsidR="00865E92" w:rsidRDefault="00865E92" w:rsidP="007B088B">
      <w:pPr>
        <w:pStyle w:val="FLSBody"/>
      </w:pPr>
    </w:p>
    <w:p w14:paraId="242F03F7" w14:textId="6A7723CC" w:rsidR="007B088B" w:rsidRDefault="007B088B" w:rsidP="007B088B">
      <w:pPr>
        <w:pStyle w:val="FLSBody"/>
      </w:pPr>
      <w:r>
        <w:lastRenderedPageBreak/>
        <w:t>Both the median and the mean hourly rates show a negative gender pay gap</w:t>
      </w:r>
      <w:r w:rsidR="00865E92">
        <w:t xml:space="preserve">, with a slight increase in the pay gap since 2021. A reason for this is that there are more women in national office functions compared to other parts of the </w:t>
      </w:r>
      <w:proofErr w:type="spellStart"/>
      <w:r w:rsidR="00865E92">
        <w:t>organisation</w:t>
      </w:r>
      <w:proofErr w:type="spellEnd"/>
      <w:r w:rsidR="00865E92">
        <w:t xml:space="preserve">. These business areas have more roles with higher pay bands. </w:t>
      </w:r>
    </w:p>
    <w:p w14:paraId="09CC9668" w14:textId="77777777" w:rsidR="00865E92" w:rsidRDefault="00865E92" w:rsidP="007B088B">
      <w:pPr>
        <w:pStyle w:val="FLSBody"/>
      </w:pPr>
    </w:p>
    <w:p w14:paraId="3AB7D46D" w14:textId="72347DD4" w:rsidR="007B088B" w:rsidRDefault="007B088B" w:rsidP="007B088B">
      <w:pPr>
        <w:pStyle w:val="FLSBody"/>
      </w:pPr>
      <w:r>
        <w:t xml:space="preserve">The percentage of headcount by pay quarters </w:t>
      </w:r>
      <w:r w:rsidRPr="00FF6DC8">
        <w:t xml:space="preserve">show us the spread of </w:t>
      </w:r>
      <w:r>
        <w:t>men and women</w:t>
      </w:r>
      <w:r w:rsidRPr="00FF6DC8">
        <w:t xml:space="preserve"> throughout the </w:t>
      </w:r>
      <w:proofErr w:type="spellStart"/>
      <w:r w:rsidRPr="00FF6DC8">
        <w:t>organisation</w:t>
      </w:r>
      <w:proofErr w:type="spellEnd"/>
      <w:r w:rsidRPr="00FF6DC8">
        <w:t xml:space="preserve"> by pay. </w:t>
      </w:r>
      <w:r w:rsidR="00865E92" w:rsidRPr="00472195">
        <w:t xml:space="preserve">The lower </w:t>
      </w:r>
      <w:r w:rsidR="00865E92">
        <w:t>quarter</w:t>
      </w:r>
      <w:r w:rsidR="00865E92" w:rsidRPr="00472195">
        <w:t xml:space="preserve"> of staff comprises 4</w:t>
      </w:r>
      <w:r w:rsidR="00865E92">
        <w:t>0</w:t>
      </w:r>
      <w:r w:rsidR="00865E92" w:rsidRPr="00472195">
        <w:t>% female staff and the upper quart</w:t>
      </w:r>
      <w:r w:rsidR="00865E92">
        <w:t>er</w:t>
      </w:r>
      <w:r w:rsidR="00865E92" w:rsidRPr="00472195">
        <w:t xml:space="preserve"> comprises 3</w:t>
      </w:r>
      <w:r w:rsidR="00865E92">
        <w:t>8</w:t>
      </w:r>
      <w:r w:rsidR="00865E92" w:rsidRPr="00472195">
        <w:t>%. This compares with the wider</w:t>
      </w:r>
      <w:r w:rsidR="00865E92">
        <w:t xml:space="preserve"> FLS population of 35% women. </w:t>
      </w:r>
      <w:r>
        <w:t xml:space="preserve">The number of women in the </w:t>
      </w:r>
      <w:proofErr w:type="spellStart"/>
      <w:r>
        <w:t>organisation</w:t>
      </w:r>
      <w:proofErr w:type="spellEnd"/>
      <w:r>
        <w:t xml:space="preserve"> as a whole, as well as the number of women in the upper quarter have both increased since last year. </w:t>
      </w:r>
    </w:p>
    <w:p w14:paraId="395D2E31" w14:textId="77777777" w:rsidR="007D1C37" w:rsidRDefault="007D1C37" w:rsidP="007D1C37">
      <w:pPr>
        <w:pStyle w:val="FLSBody"/>
      </w:pPr>
    </w:p>
    <w:p w14:paraId="46C1EA69" w14:textId="77777777" w:rsidR="007D1C37" w:rsidRPr="00776125" w:rsidRDefault="007D1C37" w:rsidP="007D1C37">
      <w:pPr>
        <w:pStyle w:val="FLSHeading3"/>
      </w:pPr>
      <w:r>
        <w:t xml:space="preserve">Actions we are taking to create gender </w:t>
      </w:r>
      <w:r w:rsidR="001B0B43">
        <w:t>balance</w:t>
      </w:r>
    </w:p>
    <w:p w14:paraId="64275A86" w14:textId="77777777" w:rsidR="00865E92" w:rsidRDefault="007B088B" w:rsidP="007B088B">
      <w:pPr>
        <w:pStyle w:val="FLSBody"/>
      </w:pPr>
      <w:r>
        <w:rPr>
          <w:shd w:val="clear" w:color="auto" w:fill="FFFFFF"/>
        </w:rPr>
        <w:t xml:space="preserve">Forestry and Land Scotland supports the fair treatment and reward of all staff irrespective of gender. </w:t>
      </w:r>
      <w:r>
        <w:t xml:space="preserve">We have pay and conditions of employment that do not discriminate unlawfully and are free from bias by ensuring that equal pay is in place for like work, work rated as equivalent and work of equal value. </w:t>
      </w:r>
    </w:p>
    <w:p w14:paraId="0494883F" w14:textId="5DE6390C" w:rsidR="007B088B" w:rsidRPr="001B0B43" w:rsidRDefault="007B088B" w:rsidP="007B088B">
      <w:pPr>
        <w:pStyle w:val="FLSBody"/>
      </w:pPr>
      <w:r>
        <w:t>These are specific actions we are taking to create gender balance in the workplace:</w:t>
      </w:r>
    </w:p>
    <w:p w14:paraId="513B835F" w14:textId="25776883" w:rsidR="008104EA" w:rsidRDefault="008104EA" w:rsidP="007D1C37">
      <w:pPr>
        <w:pStyle w:val="FLSBullets"/>
      </w:pPr>
      <w:r>
        <w:t>Continuing to be transparent with salary ranges, gender pay gap, pay bands and benchmarking</w:t>
      </w:r>
    </w:p>
    <w:p w14:paraId="067E6948" w14:textId="77777777" w:rsidR="00865E92" w:rsidRDefault="00865E92" w:rsidP="00865E92">
      <w:pPr>
        <w:pStyle w:val="FLSBullets"/>
      </w:pPr>
      <w:r>
        <w:t>Removing unnecessary criteria from job descriptions, and analysing the use of gendered language in our job adverts so that wording is gender-neutral</w:t>
      </w:r>
    </w:p>
    <w:p w14:paraId="70F1332B" w14:textId="77E3513A" w:rsidR="008403B1" w:rsidRPr="00865E92" w:rsidRDefault="008403B1" w:rsidP="007D1C37">
      <w:pPr>
        <w:pStyle w:val="FLSBullets"/>
      </w:pPr>
      <w:r w:rsidRPr="00865E92">
        <w:t>Using positive action</w:t>
      </w:r>
      <w:r w:rsidR="00865E92" w:rsidRPr="00865E92">
        <w:t xml:space="preserve"> in recruitment </w:t>
      </w:r>
      <w:r w:rsidR="00865E92">
        <w:t xml:space="preserve">in areas </w:t>
      </w:r>
      <w:r w:rsidR="00865E92" w:rsidRPr="00865E92">
        <w:t xml:space="preserve">where women are under-represented </w:t>
      </w:r>
    </w:p>
    <w:p w14:paraId="3E293D4A" w14:textId="77777777" w:rsidR="007B088B" w:rsidRDefault="007B088B" w:rsidP="007B088B">
      <w:pPr>
        <w:pStyle w:val="FLSBullets"/>
      </w:pPr>
      <w:r>
        <w:t xml:space="preserve">Equality and Diversity training is compulsory for all our workforce, which they must refresh each year </w:t>
      </w:r>
    </w:p>
    <w:p w14:paraId="4F21202A" w14:textId="57B705FB" w:rsidR="001B0B43" w:rsidRPr="007B088B" w:rsidRDefault="00865E92" w:rsidP="007D1C37">
      <w:pPr>
        <w:pStyle w:val="FLSBullets"/>
      </w:pPr>
      <w:r>
        <w:t>Committing</w:t>
      </w:r>
      <w:r w:rsidR="007B088B" w:rsidRPr="007B088B">
        <w:t xml:space="preserve"> to flexible working practices </w:t>
      </w:r>
    </w:p>
    <w:p w14:paraId="44DBD4C2" w14:textId="6B23FC71" w:rsidR="007B088B" w:rsidRDefault="00865E92" w:rsidP="007B088B">
      <w:pPr>
        <w:pStyle w:val="FLSBullets"/>
      </w:pPr>
      <w:r>
        <w:t xml:space="preserve">Introducing </w:t>
      </w:r>
      <w:r w:rsidR="007B088B">
        <w:t xml:space="preserve">Menopause Guidance to support </w:t>
      </w:r>
      <w:r w:rsidR="007B088B" w:rsidRPr="007B088B">
        <w:t>staff going through menopause, as well as their colleagues and managers</w:t>
      </w:r>
      <w:r w:rsidR="007B088B">
        <w:t>.</w:t>
      </w:r>
    </w:p>
    <w:p w14:paraId="34FD1B3B" w14:textId="2F31F3E2" w:rsidR="007B088B" w:rsidRDefault="007B088B" w:rsidP="007B088B">
      <w:pPr>
        <w:pStyle w:val="FLSBullets"/>
      </w:pPr>
      <w:r>
        <w:t>Engaging the Bystander training to empower staff to challenge inappropriate behaviour in the workplace</w:t>
      </w:r>
      <w:r w:rsidR="00BE55E4">
        <w:t>.</w:t>
      </w:r>
    </w:p>
    <w:p w14:paraId="2A65F341" w14:textId="5F7F30B6" w:rsidR="00865E92" w:rsidRDefault="00865E92" w:rsidP="00865E92">
      <w:pPr>
        <w:pStyle w:val="FLSBullets"/>
        <w:numPr>
          <w:ilvl w:val="0"/>
          <w:numId w:val="0"/>
        </w:numPr>
        <w:ind w:left="714" w:hanging="357"/>
      </w:pPr>
    </w:p>
    <w:p w14:paraId="34C00BED" w14:textId="77777777" w:rsidR="00865E92" w:rsidRPr="008802A7" w:rsidRDefault="00865E92" w:rsidP="00865E92">
      <w:pPr>
        <w:pStyle w:val="FLSBody"/>
      </w:pPr>
      <w:r>
        <w:t>I confirm that the data reported and the calculations produced are accurate.</w:t>
      </w:r>
    </w:p>
    <w:p w14:paraId="02B55BDE" w14:textId="77777777" w:rsidR="00865E92" w:rsidRDefault="00865E92" w:rsidP="00865E92">
      <w:pPr>
        <w:pStyle w:val="FLSBody"/>
        <w:rPr>
          <w:b/>
          <w:highlight w:val="yellow"/>
        </w:rPr>
      </w:pPr>
    </w:p>
    <w:p w14:paraId="128668B5" w14:textId="6B222601" w:rsidR="00865E92" w:rsidRDefault="00256C26" w:rsidP="00865E92">
      <w:pPr>
        <w:pStyle w:val="FLSBody"/>
        <w:rPr>
          <w:b/>
          <w:highlight w:val="yellow"/>
        </w:rPr>
      </w:pPr>
      <w:r>
        <w:rPr>
          <w:b/>
          <w:noProof/>
          <w:lang w:val="en-GB" w:eastAsia="en-GB"/>
        </w:rPr>
        <w:drawing>
          <wp:inline distT="0" distB="0" distL="0" distR="0" wp14:anchorId="1818D672" wp14:editId="3F54DB8B">
            <wp:extent cx="2047925" cy="445135"/>
            <wp:effectExtent l="0" t="0" r="9525" b="0"/>
            <wp:docPr id="1" name="Picture 1" descr="Signature of Chief Executive of 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on's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059353" cy="447619"/>
                    </a:xfrm>
                    <a:prstGeom prst="rect">
                      <a:avLst/>
                    </a:prstGeom>
                  </pic:spPr>
                </pic:pic>
              </a:graphicData>
            </a:graphic>
          </wp:inline>
        </w:drawing>
      </w:r>
    </w:p>
    <w:p w14:paraId="496B9709" w14:textId="77777777" w:rsidR="00865E92" w:rsidRPr="003077D2" w:rsidRDefault="00865E92" w:rsidP="00865E92">
      <w:pPr>
        <w:pStyle w:val="FLSBody"/>
        <w:rPr>
          <w:color w:val="035F1D"/>
        </w:rPr>
      </w:pPr>
      <w:r w:rsidRPr="003077D2">
        <w:rPr>
          <w:color w:val="035F1D"/>
        </w:rPr>
        <w:t>Simon Hodgson</w:t>
      </w:r>
    </w:p>
    <w:p w14:paraId="3F8DFF59" w14:textId="77777777" w:rsidR="00865E92" w:rsidRPr="003077D2" w:rsidRDefault="00865E92" w:rsidP="00865E92">
      <w:pPr>
        <w:pStyle w:val="FLSBody"/>
        <w:rPr>
          <w:color w:val="035F1D"/>
        </w:rPr>
      </w:pPr>
      <w:r w:rsidRPr="003077D2">
        <w:rPr>
          <w:color w:val="035F1D"/>
        </w:rPr>
        <w:t>Chief Executive, Forestry and Land Scotland</w:t>
      </w:r>
    </w:p>
    <w:p w14:paraId="27163C89" w14:textId="77777777" w:rsidR="007D1C37" w:rsidRPr="007D1C37" w:rsidRDefault="007D1C37" w:rsidP="00865E92">
      <w:pPr>
        <w:pStyle w:val="FLSBullets"/>
        <w:numPr>
          <w:ilvl w:val="0"/>
          <w:numId w:val="0"/>
        </w:numPr>
        <w:ind w:left="714" w:hanging="357"/>
      </w:pPr>
    </w:p>
    <w:sectPr w:rsidR="007D1C37" w:rsidRPr="007D1C37" w:rsidSect="00865E92">
      <w:headerReference w:type="default" r:id="rId9"/>
      <w:headerReference w:type="first" r:id="rId10"/>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2EFD" w14:textId="77777777" w:rsidR="00A33AD0" w:rsidRDefault="00A33AD0" w:rsidP="00DA5B6C">
      <w:pPr>
        <w:spacing w:after="0" w:line="240" w:lineRule="auto"/>
      </w:pPr>
      <w:r>
        <w:separator/>
      </w:r>
    </w:p>
  </w:endnote>
  <w:endnote w:type="continuationSeparator" w:id="0">
    <w:p w14:paraId="30E0B2C3" w14:textId="77777777" w:rsidR="00A33AD0" w:rsidRDefault="00A33AD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39BC" w14:textId="77777777" w:rsidR="00A33AD0" w:rsidRDefault="00A33AD0" w:rsidP="00DA5B6C">
      <w:pPr>
        <w:spacing w:after="0" w:line="240" w:lineRule="auto"/>
      </w:pPr>
      <w:r>
        <w:separator/>
      </w:r>
    </w:p>
  </w:footnote>
  <w:footnote w:type="continuationSeparator" w:id="0">
    <w:p w14:paraId="6753EEA9" w14:textId="77777777" w:rsidR="00A33AD0" w:rsidRDefault="00A33AD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CE4B"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5554" w14:textId="77777777" w:rsidR="00BB26FF" w:rsidRDefault="00787B4C" w:rsidP="00787B4C">
    <w:pPr>
      <w:ind w:left="-993"/>
    </w:pPr>
    <w:r>
      <w:rPr>
        <w:noProof/>
        <w:lang w:val="en-GB" w:eastAsia="en-GB"/>
      </w:rPr>
      <w:drawing>
        <wp:inline distT="0" distB="0" distL="0" distR="0" wp14:anchorId="60FBD04E" wp14:editId="37733A78">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82C7D04"/>
    <w:multiLevelType w:val="multilevel"/>
    <w:tmpl w:val="C52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84753"/>
    <w:multiLevelType w:val="hybridMultilevel"/>
    <w:tmpl w:val="07E8B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37"/>
    <w:rsid w:val="000B162C"/>
    <w:rsid w:val="000E0DAE"/>
    <w:rsid w:val="00103FCF"/>
    <w:rsid w:val="001120D7"/>
    <w:rsid w:val="00135506"/>
    <w:rsid w:val="00142C6B"/>
    <w:rsid w:val="00154AAA"/>
    <w:rsid w:val="00155C4F"/>
    <w:rsid w:val="001A7C0F"/>
    <w:rsid w:val="001B0B43"/>
    <w:rsid w:val="001F2DCE"/>
    <w:rsid w:val="0020052E"/>
    <w:rsid w:val="00204906"/>
    <w:rsid w:val="00220626"/>
    <w:rsid w:val="002406AF"/>
    <w:rsid w:val="00256C26"/>
    <w:rsid w:val="002E01F8"/>
    <w:rsid w:val="00305586"/>
    <w:rsid w:val="00321C99"/>
    <w:rsid w:val="00381112"/>
    <w:rsid w:val="003B7DA7"/>
    <w:rsid w:val="003D5DF0"/>
    <w:rsid w:val="003F7776"/>
    <w:rsid w:val="00407F61"/>
    <w:rsid w:val="00431D70"/>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23FEB"/>
    <w:rsid w:val="00760ADB"/>
    <w:rsid w:val="0078651A"/>
    <w:rsid w:val="00787B4C"/>
    <w:rsid w:val="007B088B"/>
    <w:rsid w:val="007D1C37"/>
    <w:rsid w:val="007E739A"/>
    <w:rsid w:val="008104EA"/>
    <w:rsid w:val="00826EC9"/>
    <w:rsid w:val="008403B1"/>
    <w:rsid w:val="00851627"/>
    <w:rsid w:val="008643C4"/>
    <w:rsid w:val="008654C2"/>
    <w:rsid w:val="00865E92"/>
    <w:rsid w:val="00873E15"/>
    <w:rsid w:val="00896E42"/>
    <w:rsid w:val="008B108A"/>
    <w:rsid w:val="008B1311"/>
    <w:rsid w:val="008D7EBF"/>
    <w:rsid w:val="008E14D3"/>
    <w:rsid w:val="008E4664"/>
    <w:rsid w:val="00963DEB"/>
    <w:rsid w:val="00996645"/>
    <w:rsid w:val="00997ACD"/>
    <w:rsid w:val="009B49BC"/>
    <w:rsid w:val="009F2566"/>
    <w:rsid w:val="00A1467D"/>
    <w:rsid w:val="00A25CAA"/>
    <w:rsid w:val="00A33AD0"/>
    <w:rsid w:val="00A51AB2"/>
    <w:rsid w:val="00A734FD"/>
    <w:rsid w:val="00A754D0"/>
    <w:rsid w:val="00A93F56"/>
    <w:rsid w:val="00AC04DF"/>
    <w:rsid w:val="00B07461"/>
    <w:rsid w:val="00B3359E"/>
    <w:rsid w:val="00B341F7"/>
    <w:rsid w:val="00B42C07"/>
    <w:rsid w:val="00B430AC"/>
    <w:rsid w:val="00B71671"/>
    <w:rsid w:val="00BA6838"/>
    <w:rsid w:val="00BB26FF"/>
    <w:rsid w:val="00BE55E4"/>
    <w:rsid w:val="00C111B8"/>
    <w:rsid w:val="00C444EF"/>
    <w:rsid w:val="00CD14BF"/>
    <w:rsid w:val="00CE5DF1"/>
    <w:rsid w:val="00CF2299"/>
    <w:rsid w:val="00D35B91"/>
    <w:rsid w:val="00D4491B"/>
    <w:rsid w:val="00D52DA1"/>
    <w:rsid w:val="00D904DD"/>
    <w:rsid w:val="00DA5433"/>
    <w:rsid w:val="00DA5B6C"/>
    <w:rsid w:val="00DE5F96"/>
    <w:rsid w:val="00E16F59"/>
    <w:rsid w:val="00E72B73"/>
    <w:rsid w:val="00E81F81"/>
    <w:rsid w:val="00E9285E"/>
    <w:rsid w:val="00E930D6"/>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6EA47"/>
  <w14:defaultImageDpi w14:val="0"/>
  <w15:docId w15:val="{190FA49E-3CF3-4631-AD80-37540B8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963DEB"/>
    <w:pPr>
      <w:spacing w:after="160" w:line="320" w:lineRule="exact"/>
      <w:contextualSpacing/>
      <w:jc w:val="center"/>
    </w:pPr>
    <w:rPr>
      <w:rFonts w:cs="Times New Roman"/>
      <w:bCs/>
      <w:color w:val="FFFFFF" w:themeColor="background1"/>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NormalWeb">
    <w:name w:val="Normal (Web)"/>
    <w:basedOn w:val="Normal"/>
    <w:uiPriority w:val="99"/>
    <w:semiHidden/>
    <w:unhideWhenUsed/>
    <w:rsid w:val="007D1C37"/>
    <w:pPr>
      <w:spacing w:before="100" w:beforeAutospacing="1" w:after="100" w:afterAutospacing="1" w:line="240" w:lineRule="auto"/>
    </w:pPr>
    <w:rPr>
      <w:rFonts w:ascii="Times New Roman" w:hAnsi="Times New Roman"/>
      <w:sz w:val="24"/>
      <w:szCs w:val="24"/>
      <w:lang w:val="en-GB" w:eastAsia="en-GB"/>
    </w:rPr>
  </w:style>
  <w:style w:type="table" w:styleId="TableGrid">
    <w:name w:val="Table Grid"/>
    <w:basedOn w:val="TableNormal"/>
    <w:uiPriority w:val="59"/>
    <w:rsid w:val="007D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C37"/>
    <w:pPr>
      <w:spacing w:after="0" w:line="240" w:lineRule="auto"/>
      <w:ind w:left="720"/>
      <w:contextualSpacing/>
    </w:pPr>
    <w:rPr>
      <w:rFonts w:ascii="Arial" w:hAnsi="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6294">
      <w:bodyDiv w:val="1"/>
      <w:marLeft w:val="0"/>
      <w:marRight w:val="0"/>
      <w:marTop w:val="0"/>
      <w:marBottom w:val="0"/>
      <w:divBdr>
        <w:top w:val="none" w:sz="0" w:space="0" w:color="auto"/>
        <w:left w:val="none" w:sz="0" w:space="0" w:color="auto"/>
        <w:bottom w:val="none" w:sz="0" w:space="0" w:color="auto"/>
        <w:right w:val="none" w:sz="0" w:space="0" w:color="auto"/>
      </w:divBdr>
    </w:div>
    <w:div w:id="1575428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6699\Downloads\fls-A4-portrait-word-template-no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2B49-1BF4-4B23-9140-7EDBDAD9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(1).dotx</Template>
  <TotalTime>3</TotalTime>
  <Pages>2</Pages>
  <Words>453</Words>
  <Characters>2587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 2022</dc:title>
  <dc:subject/>
  <dc:creator>z336699</dc:creator>
  <cp:keywords/>
  <dc:description/>
  <cp:lastModifiedBy>Colin Sandie</cp:lastModifiedBy>
  <cp:revision>5</cp:revision>
  <cp:lastPrinted>2019-02-22T11:07:00Z</cp:lastPrinted>
  <dcterms:created xsi:type="dcterms:W3CDTF">2022-08-18T06:35:00Z</dcterms:created>
  <dcterms:modified xsi:type="dcterms:W3CDTF">2022-10-31T09:28:00Z</dcterms:modified>
</cp:coreProperties>
</file>